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4C00A5E" w:rsidR="00093CA9" w:rsidRDefault="00A81C23"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E34E6E8" w:rsidR="003964A4" w:rsidRDefault="003964A4" w:rsidP="00D448D0">
            <w:r w:rsidRPr="001507AC">
              <w:t>CFS EC 0</w:t>
            </w:r>
            <w:r>
              <w:t>31</w:t>
            </w:r>
            <w:r w:rsidRPr="001507AC">
              <w:t xml:space="preserve"> of 2021 integrated in CFS EC 0</w:t>
            </w:r>
            <w:r>
              <w:t>06</w:t>
            </w:r>
            <w:r w:rsidRPr="001507AC">
              <w:t xml:space="preserve"> of 20</w:t>
            </w:r>
            <w:r>
              <w:t>25</w:t>
            </w:r>
            <w:r w:rsidR="0090581B">
              <w:t xml:space="preserve">. </w:t>
            </w:r>
            <w:r w:rsidR="0090581B" w:rsidRPr="00B016EB">
              <w:rPr>
                <w:lang w:val="es-ES"/>
              </w:rPr>
              <w:t>Instrucciones relacionadas con la divulgación de información sobre asuntos sociales y ambientales, incluidos los relacionados con el cambio climático.</w:t>
            </w:r>
            <w:r w:rsidR="0090581B" w:rsidRPr="0090581B">
              <w:rPr>
                <w:lang w:val="es-ES"/>
              </w:rPr>
              <w:t xml:space="preserve"> </w:t>
            </w:r>
            <w:r w:rsidR="0090581B">
              <w:t>(</w:t>
            </w:r>
            <w:r w:rsidR="0090581B" w:rsidRPr="0090581B">
              <w:t>Instructions regarding the disclosure of information on social and environmental issues, including climate related issues</w:t>
            </w:r>
            <w:r w:rsidR="0090581B">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FE9A73B" w:rsidR="00093CA9" w:rsidRDefault="003964A4" w:rsidP="00093CA9">
            <w:hyperlink r:id="rId17" w:history="1">
              <w:r w:rsidRPr="0024663C">
                <w:rPr>
                  <w:rStyle w:val="Hyperlink"/>
                </w:rPr>
                <w:t>Web-archived link</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30E4ADC" w:rsidR="00093CA9" w:rsidRDefault="00EB7E82"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F84F2F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5C20172"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AD29506"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65A8CA5" w:rsidR="00093CA9" w:rsidRDefault="00EB7E82"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49B2A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B0BED1A" w:rsidR="00093CA9" w:rsidRDefault="003964A4" w:rsidP="003964A4">
            <w:pPr>
              <w:jc w:val="both"/>
            </w:pPr>
            <w:r w:rsidRPr="001507AC">
              <w:t>CFS EC 0</w:t>
            </w:r>
            <w:r>
              <w:t>31</w:t>
            </w:r>
            <w:r w:rsidRPr="001507AC">
              <w:t xml:space="preserve"> of 2021</w:t>
            </w:r>
            <w:r w:rsidRPr="003964A4">
              <w:t>, integrated in CFS EC 006 of 2025</w:t>
            </w:r>
            <w:r>
              <w:t xml:space="preserve">, </w:t>
            </w:r>
            <w:r w:rsidRPr="003964A4">
              <w:t xml:space="preserve">is a mandatory disclosure tool aimed at enhancing the quality, consistency, and comparability of environmental, social, and climate-related disclosures by issuers. It requires the adoption of international standards such as Task Force for Climate Related Financial Disclosure </w:t>
            </w:r>
            <w:r>
              <w:t>(</w:t>
            </w:r>
            <w:r w:rsidRPr="003964A4">
              <w:t>TCFD</w:t>
            </w:r>
            <w:r>
              <w:t>)</w:t>
            </w:r>
            <w:r w:rsidRPr="003964A4">
              <w:t xml:space="preserve"> and </w:t>
            </w:r>
            <w:proofErr w:type="spellStart"/>
            <w:r w:rsidRPr="003964A4">
              <w:t>Estándares</w:t>
            </w:r>
            <w:proofErr w:type="spellEnd"/>
            <w:r w:rsidRPr="003964A4">
              <w:t xml:space="preserve"> SASB de la Value Reporting Foundation </w:t>
            </w:r>
            <w:r>
              <w:t>(</w:t>
            </w:r>
            <w:r w:rsidRPr="003964A4">
              <w:t>SASB</w:t>
            </w:r>
            <w:r>
              <w:t>)</w:t>
            </w:r>
            <w:r w:rsidRPr="003964A4">
              <w:t>, emphasizes financial materiality, and mandates periodic reporting on climate-related risks, practices, and impacts. While primarily a disclosure instrument, it also supports prudential supervision by improving risk assessment and regulatory oversight in relation to climate-related financial risks.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D05C7AA" w:rsidR="00093CA9" w:rsidRDefault="003964A4"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0C10B91F" w:rsidR="00093CA9" w:rsidRDefault="003964A4"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60DCDFF5" w:rsidR="00093CA9" w:rsidRDefault="00B074C3" w:rsidP="00B074C3">
            <w:pPr>
              <w:jc w:val="both"/>
            </w:pPr>
            <w:r w:rsidRPr="003D57E5">
              <w:t xml:space="preserve">To modernize the broader regulatory architecture, the </w:t>
            </w:r>
            <w:r w:rsidRPr="005C54D2">
              <w:t xml:space="preserve">Superintendency of Financial </w:t>
            </w:r>
            <w:r>
              <w:t>I</w:t>
            </w:r>
            <w:r w:rsidRPr="005C54D2">
              <w:t>nstitutions</w:t>
            </w:r>
            <w:r>
              <w:t xml:space="preserve"> </w:t>
            </w:r>
            <w:r w:rsidRPr="00B074C3">
              <w:t>(</w:t>
            </w:r>
            <w:proofErr w:type="spellStart"/>
            <w:r w:rsidRPr="00B074C3">
              <w:rPr>
                <w:i/>
                <w:iCs/>
              </w:rPr>
              <w:t>Superintendencia</w:t>
            </w:r>
            <w:proofErr w:type="spellEnd"/>
            <w:r w:rsidRPr="00B074C3">
              <w:rPr>
                <w:i/>
                <w:iCs/>
              </w:rPr>
              <w:t xml:space="preserve"> Financiera de Colombia</w:t>
            </w:r>
            <w:r w:rsidRPr="00B074C3">
              <w:t>)</w:t>
            </w:r>
            <w:r w:rsidRPr="003D57E5">
              <w:t xml:space="preserve"> has re-issued and streamlined the Circular </w:t>
            </w:r>
            <w:proofErr w:type="spellStart"/>
            <w:r w:rsidRPr="003D57E5">
              <w:t>Básica</w:t>
            </w:r>
            <w:proofErr w:type="spellEnd"/>
            <w:r w:rsidRPr="003D57E5">
              <w:t xml:space="preserve"> </w:t>
            </w:r>
            <w:proofErr w:type="spellStart"/>
            <w:r w:rsidRPr="003D57E5">
              <w:t>Jurídica</w:t>
            </w:r>
            <w:proofErr w:type="spellEnd"/>
            <w:r w:rsidRPr="003D57E5">
              <w:t xml:space="preserve"> (CBJ) through Circular 006 of 2025. Effective 26 June 2025</w:t>
            </w:r>
            <w:r>
              <w:t xml:space="preserve">. </w:t>
            </w:r>
            <w:r w:rsidRPr="003D57E5">
              <w:t xml:space="preserve">The main objectives of this new Circular are to update, simplify, and clarify the regulatory framework </w:t>
            </w:r>
            <w:proofErr w:type="gramStart"/>
            <w:r w:rsidRPr="003D57E5">
              <w:t>in order to</w:t>
            </w:r>
            <w:proofErr w:type="gramEnd"/>
            <w:r w:rsidRPr="003D57E5">
              <w:t xml:space="preserve"> enhance its efficiency, coherence, and transparency, in line with national and international standards for regulatory improvement and digital transformation.</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1804B04" w:rsidR="00093CA9" w:rsidRPr="00173D7C" w:rsidRDefault="00B074C3"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6006B13" w:rsidR="00093CA9" w:rsidRPr="00173D7C" w:rsidRDefault="00B074C3"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0F15E9E7" w:rsidR="00093CA9" w:rsidRPr="00587FAE" w:rsidRDefault="00B074C3" w:rsidP="00B074C3">
            <w:pPr>
              <w:jc w:val="both"/>
              <w:rPr>
                <w:color w:val="000000" w:themeColor="text1"/>
              </w:rPr>
            </w:pPr>
            <w:r w:rsidRPr="00B074C3">
              <w:rPr>
                <w:color w:val="000000" w:themeColor="text1"/>
              </w:rPr>
              <w:t>Under the transitional regime, issuers must submit through the RNVE, no later than 2024 and in accordance with the timelines and instructions set out in the Circular, (</w:t>
            </w:r>
            <w:proofErr w:type="spellStart"/>
            <w:r w:rsidRPr="00B074C3">
              <w:rPr>
                <w:color w:val="000000" w:themeColor="text1"/>
              </w:rPr>
              <w:t>i</w:t>
            </w:r>
            <w:proofErr w:type="spellEnd"/>
            <w:r w:rsidRPr="00B074C3">
              <w:rPr>
                <w:color w:val="000000" w:themeColor="text1"/>
              </w:rPr>
              <w:t>) a draft chapter on social, environmental, and climate-related practices, policies, processes, and indicators; (ii) the final version of such chapter in their annual report; and (iii) quarterly updates disclosing any material changes in these areas. Issuers newly classified as “Grupo A Issuers” as of January 1, 2024, will have up to two years from the date of reclassification to comply with these same disclosure requirements. In addition, all issuers were required to submit an implementation plan to the Financial Superintendency by February 10, 2023, ensuring full compliance by 2024, unless they opted for earlier implementation.</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33F8B098" w14:textId="32BD8B65" w:rsidR="00B074C3" w:rsidRDefault="00B074C3" w:rsidP="00B074C3">
            <w:pPr>
              <w:jc w:val="both"/>
            </w:pPr>
            <w:r>
              <w:t xml:space="preserve">The policy tool is authored and issued by the </w:t>
            </w:r>
            <w:r w:rsidRPr="005C54D2">
              <w:rPr>
                <w:lang w:val="en-US"/>
              </w:rPr>
              <w:t xml:space="preserve">Superintendency of </w:t>
            </w:r>
            <w:r>
              <w:rPr>
                <w:lang w:val="en-US"/>
              </w:rPr>
              <w:t>F</w:t>
            </w:r>
            <w:r w:rsidRPr="005C54D2">
              <w:rPr>
                <w:lang w:val="en-US"/>
              </w:rPr>
              <w:t>inancial institutions</w:t>
            </w:r>
            <w:r>
              <w:rPr>
                <w:lang w:val="en-US"/>
              </w:rPr>
              <w:t xml:space="preserve">, </w:t>
            </w:r>
            <w:r>
              <w:t>which is a technical government agency attached to the Ministry of Finance and Public Credit. The SFC possesses legal personality, as well as administrative and financial autonomy, and its own assets.</w:t>
            </w:r>
          </w:p>
          <w:p w14:paraId="7961F236" w14:textId="669B7B07" w:rsidR="00093CA9" w:rsidRDefault="00B074C3" w:rsidP="00B074C3">
            <w:pPr>
              <w:jc w:val="both"/>
            </w:pPr>
            <w:r>
              <w:t>The SFC acts as the primary supervisory authority for Colombia’s financial system. Its mandate, as established by law, is to exercise inspection, surveillance, and control over individuals and entities engaged in financial, securities, and insurance activities, as well as any other activities involving the management, use, or investment of resources collected from the public. The President of the Republic, in accordance with the law, carries out these supervisory functions through the SFC.</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7AA2C04" w:rsidR="00093CA9" w:rsidRPr="006B7B0D" w:rsidRDefault="00B074C3" w:rsidP="00093CA9">
            <w:r w:rsidRPr="005E4C3B">
              <w:t xml:space="preserve">Superintendency of Financial </w:t>
            </w:r>
            <w:r w:rsidR="00DC0FBA">
              <w:t>I</w:t>
            </w:r>
            <w:r w:rsidRPr="005E4C3B">
              <w:t>nstitutions</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lastRenderedPageBreak/>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E7D3542" w:rsidR="00093CA9" w:rsidRPr="006B7B0D" w:rsidRDefault="00B074C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470DB4D" w:rsidR="00093CA9" w:rsidRDefault="00B074C3"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18FF415E" w14:textId="77777777" w:rsidR="00093CA9" w:rsidRDefault="00046090" w:rsidP="00046090">
            <w:pPr>
              <w:keepNext/>
              <w:jc w:val="both"/>
              <w:rPr>
                <w:color w:val="000000" w:themeColor="text1"/>
              </w:rPr>
            </w:pPr>
            <w:r>
              <w:rPr>
                <w:color w:val="000000" w:themeColor="text1"/>
              </w:rPr>
              <w:t>T</w:t>
            </w:r>
            <w:r w:rsidRPr="00046090">
              <w:rPr>
                <w:color w:val="000000" w:themeColor="text1"/>
              </w:rPr>
              <w:t>here are indeed monitoring systems in place to oversee the implementation and enforcement of the policy tool regarding social, environmental, and climate-related disclosures. These systems are primarily based on periodic reporting requirements, which are detailed as follows:</w:t>
            </w:r>
            <w:r>
              <w:rPr>
                <w:color w:val="000000" w:themeColor="text1"/>
              </w:rPr>
              <w:t xml:space="preserve"> </w:t>
            </w:r>
          </w:p>
          <w:p w14:paraId="00660587" w14:textId="5E5C7B29" w:rsidR="00046090" w:rsidRDefault="00046090" w:rsidP="00046090">
            <w:pPr>
              <w:pStyle w:val="ListParagraph"/>
              <w:keepNext/>
              <w:numPr>
                <w:ilvl w:val="0"/>
                <w:numId w:val="49"/>
              </w:numPr>
              <w:jc w:val="both"/>
              <w:rPr>
                <w:color w:val="000000" w:themeColor="text1"/>
              </w:rPr>
            </w:pPr>
            <w:r w:rsidRPr="00046090">
              <w:rPr>
                <w:color w:val="000000" w:themeColor="text1"/>
              </w:rPr>
              <w:t xml:space="preserve">All issuers are required to include a dedicated chapter on social, environmental, and climate-related matters in their annual reports. This chapter must cover practices, policies, processes, and indicators relevant to these issues. The report must be transmitted through the </w:t>
            </w:r>
            <w:r w:rsidR="00F5516A" w:rsidRPr="00F5516A">
              <w:rPr>
                <w:color w:val="000000" w:themeColor="text1"/>
              </w:rPr>
              <w:t xml:space="preserve">National Registry of Securities and Issuers </w:t>
            </w:r>
            <w:r w:rsidRPr="00046090">
              <w:rPr>
                <w:color w:val="000000" w:themeColor="text1"/>
              </w:rPr>
              <w:t>(RNVE) within specific deadlines</w:t>
            </w:r>
            <w:r>
              <w:rPr>
                <w:color w:val="000000" w:themeColor="text1"/>
              </w:rPr>
              <w:t xml:space="preserve"> (Section 5.5.1 and Section 5.5.2 of </w:t>
            </w:r>
            <w:r w:rsidRPr="00046090">
              <w:rPr>
                <w:color w:val="000000" w:themeColor="text1"/>
              </w:rPr>
              <w:t>Annex 2, Chapter 1, Title V, Part III of the</w:t>
            </w:r>
            <w:r>
              <w:rPr>
                <w:color w:val="000000" w:themeColor="text1"/>
              </w:rPr>
              <w:t xml:space="preserve"> CBJ issued by the SFC</w:t>
            </w:r>
            <w:proofErr w:type="gramStart"/>
            <w:r>
              <w:rPr>
                <w:color w:val="000000" w:themeColor="text1"/>
              </w:rPr>
              <w:t>);</w:t>
            </w:r>
            <w:proofErr w:type="gramEnd"/>
            <w:r>
              <w:rPr>
                <w:color w:val="000000" w:themeColor="text1"/>
              </w:rPr>
              <w:t xml:space="preserve"> </w:t>
            </w:r>
          </w:p>
          <w:p w14:paraId="1BCC5592" w14:textId="7F80D3BE" w:rsidR="00046090" w:rsidRDefault="00046090" w:rsidP="00046090">
            <w:pPr>
              <w:pStyle w:val="ListParagraph"/>
              <w:keepNext/>
              <w:numPr>
                <w:ilvl w:val="0"/>
                <w:numId w:val="49"/>
              </w:numPr>
              <w:jc w:val="both"/>
              <w:rPr>
                <w:color w:val="000000" w:themeColor="text1"/>
              </w:rPr>
            </w:pPr>
            <w:r w:rsidRPr="00046090">
              <w:rPr>
                <w:color w:val="000000" w:themeColor="text1"/>
              </w:rPr>
              <w:t>Issuers must include a chapter in their quarterly reports dedicated to any material changes in their practices, processes, policies, and indicators related to social, environmental, and climate issues during the relevant quarter</w:t>
            </w:r>
            <w:r>
              <w:rPr>
                <w:color w:val="000000" w:themeColor="text1"/>
              </w:rPr>
              <w:t xml:space="preserve"> (Section 6 of </w:t>
            </w:r>
            <w:r w:rsidRPr="00046090">
              <w:rPr>
                <w:color w:val="000000" w:themeColor="text1"/>
              </w:rPr>
              <w:t>Annex 2, Chapter 1, Title V, Part III of the</w:t>
            </w:r>
            <w:r>
              <w:rPr>
                <w:color w:val="000000" w:themeColor="text1"/>
              </w:rPr>
              <w:t xml:space="preserve"> CBJ issued by the SFC</w:t>
            </w:r>
            <w:proofErr w:type="gramStart"/>
            <w:r>
              <w:rPr>
                <w:color w:val="000000" w:themeColor="text1"/>
              </w:rPr>
              <w:t>);</w:t>
            </w:r>
            <w:proofErr w:type="gramEnd"/>
          </w:p>
          <w:p w14:paraId="7E8F0FEB" w14:textId="2905D0EF" w:rsidR="00046090" w:rsidRDefault="00046090" w:rsidP="00046090">
            <w:pPr>
              <w:pStyle w:val="ListParagraph"/>
              <w:keepNext/>
              <w:numPr>
                <w:ilvl w:val="0"/>
                <w:numId w:val="49"/>
              </w:numPr>
              <w:jc w:val="both"/>
              <w:rPr>
                <w:color w:val="000000" w:themeColor="text1"/>
              </w:rPr>
            </w:pPr>
            <w:r w:rsidRPr="00046090">
              <w:rPr>
                <w:color w:val="000000" w:themeColor="text1"/>
              </w:rPr>
              <w:t>All required reports (both annual and quarterly) must be submitted electronically through the RNVE, following a specified route on the</w:t>
            </w:r>
            <w:r>
              <w:rPr>
                <w:color w:val="000000" w:themeColor="text1"/>
              </w:rPr>
              <w:t xml:space="preserve"> SFC </w:t>
            </w:r>
            <w:r w:rsidRPr="00046090">
              <w:rPr>
                <w:color w:val="000000" w:themeColor="text1"/>
              </w:rPr>
              <w:t>(Section 1, Section 5.5.1, Section 5.5.2, Section 6</w:t>
            </w:r>
            <w:r>
              <w:rPr>
                <w:color w:val="000000" w:themeColor="text1"/>
              </w:rPr>
              <w:t xml:space="preserve"> of </w:t>
            </w:r>
            <w:r w:rsidRPr="00046090">
              <w:rPr>
                <w:color w:val="000000" w:themeColor="text1"/>
              </w:rPr>
              <w:t>Annex 2, Chapter 1, Title V, Part III of the</w:t>
            </w:r>
            <w:r>
              <w:rPr>
                <w:color w:val="000000" w:themeColor="text1"/>
              </w:rPr>
              <w:t xml:space="preserve"> CBJ issued by the SFC</w:t>
            </w:r>
            <w:r w:rsidRPr="00046090">
              <w:rPr>
                <w:color w:val="000000" w:themeColor="text1"/>
              </w:rPr>
              <w:t>)</w:t>
            </w:r>
            <w:r>
              <w:rPr>
                <w:color w:val="000000" w:themeColor="text1"/>
              </w:rPr>
              <w:t xml:space="preserve">. </w:t>
            </w:r>
          </w:p>
          <w:p w14:paraId="2C2128DB" w14:textId="2BC2C5E0" w:rsidR="00046090" w:rsidRPr="00046090" w:rsidRDefault="00046090" w:rsidP="00046090">
            <w:pPr>
              <w:keepNext/>
              <w:jc w:val="both"/>
              <w:rPr>
                <w:color w:val="000000" w:themeColor="text1"/>
              </w:rPr>
            </w:pPr>
            <w:r w:rsidRPr="00046090">
              <w:rPr>
                <w:color w:val="000000" w:themeColor="text1"/>
              </w:rPr>
              <w:t>T</w:t>
            </w:r>
            <w:r>
              <w:rPr>
                <w:color w:val="000000" w:themeColor="text1"/>
              </w:rPr>
              <w:t>hus, t</w:t>
            </w:r>
            <w:r w:rsidRPr="00046090">
              <w:rPr>
                <w:color w:val="000000" w:themeColor="text1"/>
              </w:rPr>
              <w:t>he monitoring system established by the annex relies on structured, periodic reporting through the RNVE, with clear deadlines and content requirements for both annual and quarterly disclosures</w:t>
            </w:r>
            <w:r>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23993F1D" w:rsidR="00CF5268" w:rsidRDefault="00046090"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4917062A" w:rsidR="00CF5268" w:rsidRDefault="00046090"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13544FCE" w:rsidR="00CF5268" w:rsidRDefault="00046090"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3E487E64" w:rsidR="00CF5268" w:rsidRDefault="00046090"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24863D72" w:rsidR="00CF5268" w:rsidRDefault="00046090"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5ED2F5DB" w:rsidR="466E435B" w:rsidRDefault="00046090"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1FD59EBC" w:rsidR="00CF5268" w:rsidRDefault="00611970" w:rsidP="00DD3144">
            <w:r>
              <w:t>X</w:t>
            </w:r>
          </w:p>
        </w:tc>
        <w:tc>
          <w:tcPr>
            <w:tcW w:w="1447" w:type="dxa"/>
            <w:vAlign w:val="center"/>
          </w:tcPr>
          <w:p w14:paraId="526ECE0C" w14:textId="77777777" w:rsidR="00CF5268" w:rsidRDefault="00CF5268" w:rsidP="00DD3144"/>
        </w:tc>
        <w:tc>
          <w:tcPr>
            <w:tcW w:w="1447" w:type="dxa"/>
            <w:vAlign w:val="center"/>
          </w:tcPr>
          <w:p w14:paraId="6E3BF266" w14:textId="478A4DC0"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37C41D83" w:rsidR="466E435B" w:rsidRDefault="00046090" w:rsidP="00DD3144">
            <w:r>
              <w:t>X</w:t>
            </w:r>
          </w:p>
        </w:tc>
        <w:tc>
          <w:tcPr>
            <w:tcW w:w="1447" w:type="dxa"/>
            <w:vAlign w:val="center"/>
          </w:tcPr>
          <w:p w14:paraId="7D630605" w14:textId="7463B165" w:rsidR="466E435B" w:rsidRDefault="466E435B" w:rsidP="00DD3144"/>
        </w:tc>
        <w:tc>
          <w:tcPr>
            <w:tcW w:w="1447" w:type="dxa"/>
            <w:vAlign w:val="center"/>
          </w:tcPr>
          <w:p w14:paraId="78F26697" w14:textId="47C04FD9"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1C53BC95" w:rsidR="466E435B" w:rsidRDefault="00046090"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02FF6F0B" w:rsidR="466E435B" w:rsidRDefault="00046090"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11DDBF45" w:rsidR="466E435B" w:rsidRDefault="00046090" w:rsidP="00DD3144">
            <w:r>
              <w:t>X</w:t>
            </w:r>
          </w:p>
        </w:tc>
        <w:tc>
          <w:tcPr>
            <w:tcW w:w="1447" w:type="dxa"/>
            <w:vAlign w:val="center"/>
          </w:tcPr>
          <w:p w14:paraId="0D092DE1" w14:textId="3A5B0CC3" w:rsidR="466E435B" w:rsidRDefault="466E435B" w:rsidP="00DD3144"/>
        </w:tc>
        <w:tc>
          <w:tcPr>
            <w:tcW w:w="1447" w:type="dxa"/>
            <w:vAlign w:val="center"/>
          </w:tcPr>
          <w:p w14:paraId="1A2F5FE9" w14:textId="799630DE"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4CF00D50" w:rsidR="00CF5268" w:rsidRDefault="00046090"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0D63384D" w:rsidR="00CF5268" w:rsidRDefault="00B016EB"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862ED64" w:rsidR="004B2D74" w:rsidRDefault="00046090"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063A0E45" w:rsidR="004B2D74" w:rsidRDefault="00046090"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C4217B2" w:rsidR="004B2D74" w:rsidRDefault="00046090"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0E94156F" w:rsidR="004B2D74" w:rsidRDefault="00046090"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6206E9E9" w:rsidR="004B2D74" w:rsidRDefault="00046090"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1ABFC5D8" w:rsidR="004B2D74" w:rsidRDefault="00B016EB" w:rsidP="00DD3144">
            <w:r>
              <w:t>XX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3C945E84" w:rsidR="00B536E6" w:rsidRDefault="00B016EB"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4A15ACD6" w:rsidR="00B536E6" w:rsidRDefault="00B016EB"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22FAC074" w:rsidR="00B536E6" w:rsidRDefault="00B016EB" w:rsidP="00DD3144">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08B5D518" w:rsidR="00B536E6" w:rsidRDefault="00B016EB" w:rsidP="00DD3144">
            <w:r>
              <w:t>X</w:t>
            </w: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42BCC0FA" w:rsidR="00B536E6" w:rsidRDefault="00B016EB"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5E4406B1" w:rsidR="00B536E6" w:rsidRDefault="00B016EB"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72C1A644" w:rsidR="00B536E6" w:rsidRDefault="00B016EB"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0A14631C" w:rsidR="00B536E6" w:rsidRDefault="00B016EB"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4B2AEBEF" w:rsidR="00B536E6" w:rsidRDefault="00B016EB"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8AA0398" w:rsidR="00B536E6" w:rsidRDefault="00B016EB"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D58BAE8" w:rsidR="00B536E6" w:rsidRDefault="00B016EB"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10072436" w:rsidR="00B536E6" w:rsidRDefault="00B016EB"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7D04DB7E" w:rsidR="00B536E6" w:rsidRDefault="00B016EB"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3E657399" w:rsidR="00B536E6" w:rsidRDefault="00B016EB"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5510941D" w:rsidR="00B536E6" w:rsidRDefault="00B016EB"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780F0D13" w:rsidR="00B536E6" w:rsidRDefault="00B016EB"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74758B5C" w:rsidR="00B536E6" w:rsidRDefault="00B016EB"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C703331" w:rsidR="00B536E6" w:rsidRDefault="00B016EB"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5768D8DC" w:rsidR="00B536E6" w:rsidRDefault="00B016EB"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6C5445A3" w:rsidR="00B536E6" w:rsidRDefault="00B016EB"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7800769F" w:rsidR="00B536E6" w:rsidRDefault="00B016EB"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44D3AE11" w:rsidR="00B536E6" w:rsidRDefault="00B016EB"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rsidRPr="00C95C13"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D182302" w14:textId="3855A704" w:rsidR="0071644C" w:rsidRDefault="00C95C13" w:rsidP="00DD3144">
            <w:pPr>
              <w:rPr>
                <w:lang w:val="en-US"/>
              </w:rPr>
            </w:pPr>
            <w:r w:rsidRPr="00C95C13">
              <w:t>It is important to highlight that the regulatory provision under review is addressed to all securities issuers, meaning those legal entities—regardless of the sector in which they operate or their specific legal nature (such as insurance companies, banks, or finance companies)—that are registered as securities issuers in the RNV</w:t>
            </w:r>
            <w:r>
              <w:t xml:space="preserve">E. </w:t>
            </w:r>
            <w:r w:rsidR="003857EE" w:rsidRPr="00C95C13">
              <w:rPr>
                <w:lang w:val="en-US"/>
              </w:rPr>
              <w:t xml:space="preserve"> </w:t>
            </w:r>
          </w:p>
          <w:p w14:paraId="020308A1" w14:textId="6EB1DC19" w:rsidR="0071644C" w:rsidRPr="00C95C13" w:rsidRDefault="0071644C" w:rsidP="00DD3144">
            <w:pPr>
              <w:rPr>
                <w:lang w:val="en-US"/>
              </w:rPr>
            </w:pPr>
            <w:r>
              <w:rPr>
                <w:lang w:val="en-US"/>
              </w:rPr>
              <w:t xml:space="preserve">Likewise, </w:t>
            </w:r>
            <w:proofErr w:type="spellStart"/>
            <w:r>
              <w:rPr>
                <w:lang w:val="en-US"/>
              </w:rPr>
              <w:t>i</w:t>
            </w:r>
            <w:r w:rsidRPr="0071644C">
              <w:t>ssuers</w:t>
            </w:r>
            <w:proofErr w:type="spellEnd"/>
            <w:r w:rsidRPr="0071644C">
              <w:t xml:space="preserve"> are </w:t>
            </w:r>
            <w:proofErr w:type="gramStart"/>
            <w:r w:rsidRPr="0071644C">
              <w:t>classified into Groups</w:t>
            </w:r>
            <w:proofErr w:type="gramEnd"/>
            <w:r w:rsidRPr="0071644C">
              <w:t xml:space="preserve"> A, B, C, and D based on specific criteria that determine their disclosure obligations. Group A includes issuers listed on the MSCI </w:t>
            </w:r>
            <w:proofErr w:type="spellStart"/>
            <w:r w:rsidRPr="0071644C">
              <w:t>Colcap</w:t>
            </w:r>
            <w:proofErr w:type="spellEnd"/>
            <w:r w:rsidRPr="0071644C">
              <w:t xml:space="preserve"> or those meeting at least two thresholds related to assets, income, or number of employees, excluding certain investment vehicles. Group B comprises trusts, collective investment funds, private equity funds, and securitization schemes. Group C includes issuers not covered by the other categories, while Group D refers to temporarily registered issuers and pension bond issuers. These distinctions define the level and scope of required disclosures.</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B51D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45AEA959" w:rsidR="00524D54" w:rsidRPr="003577A4" w:rsidRDefault="00B016EB" w:rsidP="00DD3144">
            <w:r w:rsidRPr="00B016EB">
              <w:t>Legal entities—regardless of the sector in which they operate or their specific legal nature (such as insurance companies, banks, or finance companies)—that are registered as securities issuers in the RNVE. </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9E31363" w:rsidR="00576ED8" w:rsidRDefault="00C95C13"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576BA052" w:rsidR="00911F20" w:rsidRDefault="00C95C13"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lastRenderedPageBreak/>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6F23E15" w:rsidR="00911F20" w:rsidRDefault="00C95C13" w:rsidP="00DD314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264492BB" w:rsidR="00911F20" w:rsidRDefault="00C95C13"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149E83A2" w:rsidR="009C4798" w:rsidRDefault="0023706B" w:rsidP="0023706B">
            <w:pPr>
              <w:jc w:val="both"/>
            </w:pPr>
            <w:r w:rsidRPr="0024663C">
              <w:rPr>
                <w:lang w:val="en-US"/>
              </w:rPr>
              <w:t xml:space="preserve">Although the regulatory provisions do not specifically address the consequences of non-compliance, reference must be made to Article </w:t>
            </w:r>
            <w:r>
              <w:rPr>
                <w:lang w:val="en-US"/>
              </w:rPr>
              <w:t>53</w:t>
            </w:r>
            <w:r w:rsidRPr="0024663C">
              <w:rPr>
                <w:lang w:val="en-US"/>
              </w:rPr>
              <w:t xml:space="preserve"> of </w:t>
            </w:r>
            <w:r>
              <w:rPr>
                <w:lang w:val="en-US"/>
              </w:rPr>
              <w:t>Law 964 de 2005</w:t>
            </w:r>
            <w:r w:rsidRPr="0024663C">
              <w:rPr>
                <w:lang w:val="en-US"/>
              </w:rPr>
              <w:t xml:space="preserve">, which sets forth the following sanctions: </w:t>
            </w:r>
            <w:r w:rsidRPr="0023706B">
              <w:rPr>
                <w:lang w:val="en-US"/>
              </w:rPr>
              <w:t>warnings, monetary fines, temporary suspension or disqualification from management or control functions, removal from such positions, suspension or cancellation of registration in relevant securities market registries, and penalties for breaches of capital adequacy and foreign currency exposure limits. Sanctions may be imposed concurrently, provided their nature allows for such accumulation.</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193CBC22" w:rsidR="00CB1649" w:rsidRPr="00FA0CF8" w:rsidRDefault="007D4702"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67333ECE"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9724E28" w:rsidR="008063B5" w:rsidRDefault="007D4702"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33FD41F9"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1B279684" w:rsidR="00042406" w:rsidRDefault="007D4702"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58C6130E" w:rsidR="00042406" w:rsidRDefault="007D4702"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41D5D667" w:rsidR="00042406" w:rsidRDefault="007D4702"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438F10D9" w:rsidR="00042406" w:rsidRDefault="007D4702"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62863018" w:rsidR="00042406" w:rsidRDefault="007D4702"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50EFEBB3" w:rsidR="00042406" w:rsidRDefault="007D4702"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1F3209D8" w:rsidR="00042406" w:rsidRDefault="007D4702"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lastRenderedPageBreak/>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lastRenderedPageBreak/>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lastRenderedPageBreak/>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D8BED5" w:rsidR="00B0479E" w:rsidRDefault="00B016EB"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lastRenderedPageBreak/>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371DAEE5" w:rsidR="00EC42A1" w:rsidRDefault="00B016EB"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08CB65E8" w:rsidR="00EC42A1" w:rsidRDefault="00B016EB"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7E11192B" w:rsidR="00EC42A1" w:rsidRDefault="00B016EB"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70FF870C" w:rsidR="00484663" w:rsidRDefault="00B016EB"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15ECBE17" w:rsidR="00484663" w:rsidRDefault="00B016EB"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36452D08" w:rsidR="00484663" w:rsidRDefault="00B016EB"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6E077259"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2EBAA08B"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48ADB0AA"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4A5F3E20"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42DF3FB2"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099B62FD"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lastRenderedPageBreak/>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293136CA"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600FA3AB"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5306D17A"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RPr="00D8754B"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1586C385" w:rsidR="00D8754B" w:rsidRPr="00D8754B" w:rsidRDefault="00D8754B" w:rsidP="00DD3144">
            <w:pPr>
              <w:rPr>
                <w:lang w:val="en-US"/>
              </w:rPr>
            </w:pPr>
            <w:r w:rsidRPr="00D8754B">
              <w:rPr>
                <w:lang w:val="en-US"/>
              </w:rPr>
              <w:t>Pursuant to section 5.1.3 of Annex 2, Chapter I, Title V, Part III, those meeting certain criteria must also disclose information regarding: (a) the issuer’s governance with respect to the positive and negative impacts arising from social and environmental matters, including the role of the board of directors, its supporting committees, and senior management in the assessment and management of such impacts; (b) the issuer’s strategy for managing social and environmental matters within its business operations and financial planning; and (c) the identification, assessment, and management of social and environmental risks.</w:t>
            </w:r>
          </w:p>
        </w:tc>
      </w:tr>
    </w:tbl>
    <w:p w14:paraId="11CF531C" w14:textId="77777777" w:rsidR="001A6414" w:rsidRPr="00D8754B" w:rsidRDefault="001A6414">
      <w:pPr>
        <w:rPr>
          <w:lang w:val="en-US"/>
        </w:rPr>
      </w:pPr>
    </w:p>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61749BFD" w:rsidR="00DA416F" w:rsidRPr="00DD3144" w:rsidRDefault="00611970"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1912FD2" w:rsidR="00DA416F" w:rsidRPr="00DD3144" w:rsidRDefault="00611970"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2DBA5C53" w:rsidR="00DA416F" w:rsidRPr="00DD3144" w:rsidRDefault="00611970"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E46F3E" w:rsidR="00DA416F" w:rsidRPr="00DD3144" w:rsidRDefault="00611970"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23ECB875" w:rsidR="00DA416F" w:rsidRPr="00DD3144" w:rsidRDefault="00611970"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B6D18ED" w:rsidR="00DA416F" w:rsidRPr="00DD3144" w:rsidRDefault="00611970"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33620D52" w:rsidR="00DA416F" w:rsidRPr="00DD3144" w:rsidRDefault="00611970"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53A5D8BB" w:rsidR="00DA416F" w:rsidRPr="00DD3144" w:rsidRDefault="00611970"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5A16489E" w:rsidR="00DA416F" w:rsidRPr="00DD3144" w:rsidRDefault="00611970" w:rsidP="00DD3144">
            <w:pPr>
              <w:keepNext/>
              <w:rPr>
                <w:rFonts w:ascii="Calibri" w:hAnsi="Calibri" w:cs="Calibri"/>
              </w:rPr>
            </w:pPr>
            <w:r>
              <w:rPr>
                <w:rFonts w:ascii="Calibri" w:hAnsi="Calibri" w:cs="Calibri"/>
              </w:rP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1C7864E3" w:rsidR="00DA416F" w:rsidRPr="00DD3144" w:rsidRDefault="00611970"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1C321F8" w:rsidR="00DA416F" w:rsidRPr="00DD3144" w:rsidRDefault="00611970"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3D97DAEC" w:rsidR="00DA416F" w:rsidRPr="00DD3144" w:rsidRDefault="00611970"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05B65BF1" w:rsidR="00DA416F" w:rsidRPr="00DD3144" w:rsidRDefault="00611970"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16DD59FC" w:rsidR="00DA416F" w:rsidRPr="00DD3144" w:rsidRDefault="00B016EB"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611970"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5107021F" w:rsidR="004B1F6B" w:rsidRPr="00611970" w:rsidRDefault="00611970" w:rsidP="00DD3144">
            <w:pPr>
              <w:rPr>
                <w:rFonts w:ascii="Calibri" w:hAnsi="Calibri" w:cs="Calibri"/>
                <w:lang w:val="en-US"/>
              </w:rPr>
            </w:pPr>
            <w:r w:rsidRPr="00611970">
              <w:rPr>
                <w:lang w:val="en-US"/>
              </w:rPr>
              <w:t xml:space="preserve">The regulation expressly refers to the use of a classification system or taxonomy for the definition of eligible activities and assets within the investment portfolio or projects of certain types of issuers. For this purpose, the use of the Colombian Green Taxonomy is permitted, in accordance with section 5.2.2 of Annex 2, Chapter I, Title V, Part III of the CBJ </w:t>
            </w:r>
            <w:r>
              <w:rPr>
                <w:lang w:val="en-US"/>
              </w:rPr>
              <w:t>issued by the</w:t>
            </w:r>
            <w:r w:rsidRPr="00611970">
              <w:rPr>
                <w:lang w:val="en-US"/>
              </w:rPr>
              <w:t xml:space="preserve"> SFC</w:t>
            </w:r>
            <w:r w:rsidR="00B56DB3">
              <w:rPr>
                <w:lang w:val="en-US"/>
              </w:rPr>
              <w:t xml:space="preserve">, available at the following </w:t>
            </w:r>
            <w:hyperlink r:id="rId18" w:history="1">
              <w:r w:rsidR="00B56DB3" w:rsidRPr="00124797">
                <w:rPr>
                  <w:rStyle w:val="Hyperlink"/>
                  <w:lang w:val="en-US"/>
                </w:rPr>
                <w:t>Web-archived link</w:t>
              </w:r>
            </w:hyperlink>
            <w:r w:rsidR="00B56DB3">
              <w:rPr>
                <w:lang w:val="en-US"/>
              </w:rPr>
              <w:t>.</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44D1D65D"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B51D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B51D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B51D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29E40610" w:rsidR="00D4323A" w:rsidRPr="00CF2E7C" w:rsidRDefault="00611970" w:rsidP="00CF2E7C">
            <w:pPr>
              <w:rPr>
                <w:rFonts w:ascii="Calibri" w:hAnsi="Calibri" w:cs="Calibri"/>
              </w:rPr>
            </w:pPr>
            <w:r>
              <w:rPr>
                <w:rFonts w:ascii="Calibri" w:hAnsi="Calibri" w:cs="Calibri"/>
              </w:rPr>
              <w:t>X</w:t>
            </w: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2BC963B1" w:rsidR="00D4323A" w:rsidRPr="00CF2E7C" w:rsidRDefault="00611970" w:rsidP="00CF2E7C">
            <w:pPr>
              <w:rPr>
                <w:rFonts w:ascii="Calibri" w:hAnsi="Calibri" w:cs="Calibri"/>
              </w:rPr>
            </w:pPr>
            <w:r>
              <w:rPr>
                <w:rFonts w:ascii="Calibri" w:hAnsi="Calibri" w:cs="Calibri"/>
              </w:rPr>
              <w:t>X</w:t>
            </w: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6802398A" w:rsidR="00D4323A" w:rsidRPr="00CF2E7C" w:rsidRDefault="00611970"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386664D6" w:rsidR="00D4323A" w:rsidRPr="00CF2E7C" w:rsidRDefault="00611970" w:rsidP="00CF2E7C">
            <w:pPr>
              <w:rPr>
                <w:rFonts w:ascii="Calibri" w:hAnsi="Calibri" w:cs="Calibri"/>
              </w:rPr>
            </w:pPr>
            <w:r>
              <w:rPr>
                <w:rFonts w:ascii="Calibri" w:hAnsi="Calibri" w:cs="Calibri"/>
              </w:rPr>
              <w:t>X</w:t>
            </w: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4B372954" w:rsidR="00D4323A" w:rsidRPr="00CF2E7C" w:rsidRDefault="00611970" w:rsidP="00CF2E7C">
            <w:pPr>
              <w:rPr>
                <w:rFonts w:ascii="Calibri" w:hAnsi="Calibri" w:cs="Calibri"/>
              </w:rPr>
            </w:pPr>
            <w:r>
              <w:rPr>
                <w:rFonts w:ascii="Calibri" w:hAnsi="Calibri" w:cs="Calibri"/>
              </w:rPr>
              <w:t>X</w:t>
            </w: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1E394F37" w:rsidR="00D4323A" w:rsidRPr="00CF2E7C" w:rsidRDefault="00611970"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17A0A057" w:rsidR="00D4323A" w:rsidRPr="00CF2E7C" w:rsidRDefault="00611970"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61375FEC" w:rsidR="00D4323A" w:rsidRPr="00CF2E7C" w:rsidRDefault="00611970" w:rsidP="00CF2E7C">
            <w:pPr>
              <w:rPr>
                <w:rFonts w:ascii="Calibri" w:hAnsi="Calibri" w:cs="Calibri"/>
              </w:rPr>
            </w:pPr>
            <w:r>
              <w:rPr>
                <w:rFonts w:ascii="Calibri" w:hAnsi="Calibri" w:cs="Calibri"/>
              </w:rPr>
              <w:t>X</w:t>
            </w: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2467C178"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3B75DF2D" w:rsidR="00D4323A" w:rsidRPr="00CF2E7C" w:rsidRDefault="00611970" w:rsidP="00CF2E7C">
            <w:pPr>
              <w:rPr>
                <w:rFonts w:ascii="Calibri" w:hAnsi="Calibri" w:cs="Calibri"/>
              </w:rPr>
            </w:pPr>
            <w:r>
              <w:rPr>
                <w:rFonts w:ascii="Calibri" w:hAnsi="Calibri" w:cs="Calibri"/>
              </w:rPr>
              <w:t>X</w:t>
            </w: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33FF9F3C" w:rsidR="00D4323A" w:rsidRPr="00CF2E7C" w:rsidRDefault="00611970"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08C8B20" w:rsidR="00D4323A" w:rsidRPr="00CF2E7C" w:rsidRDefault="00611970" w:rsidP="00CF2E7C">
            <w:pPr>
              <w:rPr>
                <w:rFonts w:ascii="Calibri" w:hAnsi="Calibri" w:cs="Calibri"/>
              </w:rPr>
            </w:pPr>
            <w:r>
              <w:rPr>
                <w:rFonts w:ascii="Calibri" w:hAnsi="Calibri" w:cs="Calibri"/>
              </w:rPr>
              <w:t>X</w:t>
            </w: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6611AE8F"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477D087A" w:rsidR="00D4323A" w:rsidRPr="00CF2E7C" w:rsidRDefault="00611970"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156E6749"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41198201" w:rsidR="00D4323A" w:rsidRPr="00CF2E7C" w:rsidRDefault="00B016EB"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lastRenderedPageBreak/>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22BB0990" w:rsidR="00DD292A" w:rsidRPr="00CF2E7C" w:rsidRDefault="00611970"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C6A9999" w:rsidR="00DD292A" w:rsidRPr="00CF2E7C" w:rsidRDefault="00611970"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20937CF1" w:rsidR="00DD292A" w:rsidRPr="00CF2E7C" w:rsidRDefault="00611970"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552CF4DA" w:rsidR="00DD292A" w:rsidRPr="00CF2E7C" w:rsidRDefault="00611970" w:rsidP="00CF2E7C">
            <w:pPr>
              <w:rPr>
                <w:rFonts w:ascii="Calibri" w:hAnsi="Calibri" w:cs="Calibri"/>
              </w:rPr>
            </w:pPr>
            <w:r>
              <w:rPr>
                <w:rFonts w:ascii="Calibri" w:hAnsi="Calibri" w:cs="Calibri"/>
              </w:rPr>
              <w:t>X</w:t>
            </w: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38BA3E17" w:rsidR="00DD292A" w:rsidRPr="00CF2E7C" w:rsidRDefault="00611970" w:rsidP="00CF2E7C">
            <w:pPr>
              <w:rPr>
                <w:rFonts w:ascii="Calibri" w:hAnsi="Calibri" w:cs="Calibri"/>
              </w:rPr>
            </w:pPr>
            <w:r>
              <w:rPr>
                <w:rFonts w:ascii="Calibri" w:hAnsi="Calibri" w:cs="Calibri"/>
              </w:rPr>
              <w:t>X</w:t>
            </w: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0A9D4080" w:rsidR="00DD292A" w:rsidRPr="00CF2E7C" w:rsidRDefault="00B016EB"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4DC023B3" w:rsidR="00DD292A" w:rsidRPr="00CF2E7C" w:rsidRDefault="00B016EB"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5F266284" w:rsidR="00DD292A" w:rsidRPr="00CF2E7C" w:rsidRDefault="00B016EB"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5E9E4FA6" w:rsidR="00DD292A" w:rsidRPr="00CF2E7C" w:rsidRDefault="00B016EB"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A626A25" w:rsidR="00DD292A" w:rsidRPr="00CF2E7C" w:rsidRDefault="00B016EB"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2C8EFB4A" w:rsidR="00DD292A" w:rsidRPr="00CF2E7C" w:rsidRDefault="00B016EB"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044B0474" w:rsidR="00DD292A" w:rsidRPr="00CF2E7C" w:rsidRDefault="00B016EB"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lastRenderedPageBreak/>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4CF67CF4" w:rsidR="00DD292A" w:rsidRPr="00CF2E7C" w:rsidRDefault="00B016EB"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272479EE" w:rsidR="00DD292A" w:rsidRPr="00CF2E7C" w:rsidRDefault="00B016EB"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3D665868" w:rsidR="00DD292A" w:rsidRPr="00CF2E7C" w:rsidRDefault="00B016EB"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1A5A696C" w:rsidR="00DD292A" w:rsidRPr="00CF2E7C" w:rsidRDefault="00B016EB"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198B0D55" w:rsidR="00DD292A" w:rsidRPr="00CF2E7C" w:rsidRDefault="00B016EB" w:rsidP="00CF2E7C">
            <w:pPr>
              <w:rPr>
                <w:rFonts w:ascii="Calibri" w:hAnsi="Calibri" w:cs="Calibri"/>
              </w:rPr>
            </w:pPr>
            <w:r>
              <w:rPr>
                <w:rFonts w:ascii="Calibri" w:hAnsi="Calibri" w:cs="Calibri"/>
              </w:rPr>
              <w:t>X</w:t>
            </w: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068B3918" w:rsidR="00DD292A" w:rsidRPr="00CF2E7C" w:rsidRDefault="00B016EB"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2619FE93" w:rsidR="00DD292A" w:rsidRPr="00CF2E7C" w:rsidRDefault="00B016EB"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4E48115D" w:rsidR="00DD292A" w:rsidRPr="00CF2E7C" w:rsidRDefault="00B016EB"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3DCEECF5" w:rsidR="00DD292A" w:rsidRPr="00CF2E7C" w:rsidRDefault="00B016EB"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287980B9" w:rsidR="00DD292A" w:rsidRPr="00CF2E7C" w:rsidRDefault="00B016EB"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5850A291" w:rsidR="00DD292A" w:rsidRPr="00CF2E7C" w:rsidRDefault="00B016EB"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584C1033" w:rsidR="00DD292A" w:rsidRPr="00CF2E7C" w:rsidRDefault="00B016EB"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91649F1" w:rsidR="00DD292A" w:rsidRPr="00CF2E7C" w:rsidRDefault="00B016EB"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671FA573" w:rsidR="00DD292A" w:rsidRPr="00CF2E7C" w:rsidRDefault="00B016EB"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441B1334" w:rsidR="00DD292A" w:rsidRPr="00CF2E7C" w:rsidRDefault="00B016EB"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5DBC9758" w:rsidR="00DD292A" w:rsidRPr="00CF2E7C" w:rsidRDefault="00B016EB" w:rsidP="00CF2E7C">
            <w:pPr>
              <w:rPr>
                <w:rFonts w:ascii="Calibri" w:hAnsi="Calibri" w:cs="Calibri"/>
              </w:rPr>
            </w:pPr>
            <w:r>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4E2E6EC0"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89830BF" w14:textId="77777777" w:rsidR="00DD292A" w:rsidRDefault="00611970" w:rsidP="005F7FC9">
            <w:pPr>
              <w:jc w:val="both"/>
              <w:rPr>
                <w:lang w:val="en-US"/>
              </w:rPr>
            </w:pPr>
            <w:r w:rsidRPr="00C95C13">
              <w:t>It is important to highlight that the regulatory provision under review is addressed to all securities issuers, meaning those legal entities—regardless of the sector in which they operate or their specific legal nature (such as insurance companies, banks, or finance companies)—that are registered as securities issuers in the RNV</w:t>
            </w:r>
            <w:r>
              <w:t xml:space="preserve">E. </w:t>
            </w:r>
            <w:r w:rsidRPr="00C95C13">
              <w:rPr>
                <w:lang w:val="en-US"/>
              </w:rPr>
              <w:t xml:space="preserve"> </w:t>
            </w:r>
          </w:p>
          <w:p w14:paraId="052C8C35" w14:textId="5192CC87" w:rsidR="0071644C" w:rsidRPr="00CF2E7C" w:rsidRDefault="0071644C" w:rsidP="005F7FC9">
            <w:pPr>
              <w:jc w:val="both"/>
              <w:rPr>
                <w:rFonts w:ascii="Calibri" w:hAnsi="Calibri" w:cs="Calibri"/>
              </w:rPr>
            </w:pPr>
            <w:r>
              <w:rPr>
                <w:lang w:val="en-US"/>
              </w:rPr>
              <w:lastRenderedPageBreak/>
              <w:t xml:space="preserve">Likewise, </w:t>
            </w:r>
            <w:proofErr w:type="spellStart"/>
            <w:r>
              <w:rPr>
                <w:lang w:val="en-US"/>
              </w:rPr>
              <w:t>i</w:t>
            </w:r>
            <w:r w:rsidRPr="0071644C">
              <w:t>ssuers</w:t>
            </w:r>
            <w:proofErr w:type="spellEnd"/>
            <w:r w:rsidRPr="0071644C">
              <w:t xml:space="preserve"> are </w:t>
            </w:r>
            <w:proofErr w:type="gramStart"/>
            <w:r w:rsidRPr="0071644C">
              <w:t>classified into Groups</w:t>
            </w:r>
            <w:proofErr w:type="gramEnd"/>
            <w:r w:rsidRPr="0071644C">
              <w:t xml:space="preserve"> A, B, C, and D based on specific criteria that determine their disclosure obligations. Group A includes issuers listed on the MSCI </w:t>
            </w:r>
            <w:proofErr w:type="spellStart"/>
            <w:r w:rsidRPr="0071644C">
              <w:t>Colcap</w:t>
            </w:r>
            <w:proofErr w:type="spellEnd"/>
            <w:r w:rsidRPr="0071644C">
              <w:t xml:space="preserve"> or those meeting at least two thresholds related to assets, income, or number of employees, excluding certain investment vehicles. Group B comprises trusts, collective investment funds, private equity funds, and securitization schemes. Group C includes issuers not covered by the other categories, while Group D refers to temporarily registered issuers and pension bond issuers. These distinctions define the level and scope of required disclosures.</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lastRenderedPageBreak/>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6DB02CFD" w:rsidR="00DD292A" w:rsidRPr="00CF2E7C" w:rsidRDefault="0072130F" w:rsidP="00CF2E7C">
            <w:pPr>
              <w:rPr>
                <w:rFonts w:ascii="Calibri" w:hAnsi="Calibri" w:cs="Calibri"/>
              </w:rPr>
            </w:pPr>
            <w:r w:rsidRPr="0072130F">
              <w:rPr>
                <w:rFonts w:ascii="Calibri" w:hAnsi="Calibri" w:cs="Calibri"/>
              </w:rPr>
              <w:t xml:space="preserve">Group A Category, which includes issuers that are part of the MSCI </w:t>
            </w:r>
            <w:proofErr w:type="spellStart"/>
            <w:r w:rsidRPr="0072130F">
              <w:rPr>
                <w:rFonts w:ascii="Calibri" w:hAnsi="Calibri" w:cs="Calibri"/>
              </w:rPr>
              <w:t>Colcap</w:t>
            </w:r>
            <w:proofErr w:type="spellEnd"/>
            <w:r w:rsidRPr="0072130F">
              <w:rPr>
                <w:rFonts w:ascii="Calibri" w:hAnsi="Calibri" w:cs="Calibri"/>
              </w:rPr>
              <w:t xml:space="preserve"> index, as well as those that meet at least two of the following criteria as of December 31 of the immediately preceding year: (a) hold assets exceeding 3.8 million monthly legal minimum wages (MLMW); (b) have annual revenues equal to or greater than 1.9 million MLMW; or (c) have a workforce of 1,000 or more employees. Under no circumstances shall </w:t>
            </w:r>
            <w:proofErr w:type="gramStart"/>
            <w:r w:rsidRPr="0072130F">
              <w:rPr>
                <w:rFonts w:ascii="Calibri" w:hAnsi="Calibri" w:cs="Calibri"/>
              </w:rPr>
              <w:t>autonomous</w:t>
            </w:r>
            <w:proofErr w:type="gramEnd"/>
            <w:r w:rsidRPr="0072130F">
              <w:rPr>
                <w:rFonts w:ascii="Calibri" w:hAnsi="Calibri" w:cs="Calibri"/>
              </w:rPr>
              <w:t xml:space="preserve"> trusts, collective investment funds, private equity funds, or securitization schemes be considered Group A Issuers.</w:t>
            </w: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570F3DC7" w:rsidR="00DD292A" w:rsidRPr="00CF2E7C" w:rsidRDefault="0072130F" w:rsidP="00CF2E7C">
            <w:pPr>
              <w:rPr>
                <w:rFonts w:ascii="Calibri" w:hAnsi="Calibri" w:cs="Calibri"/>
              </w:rPr>
            </w:pPr>
            <w:r w:rsidRPr="0072130F">
              <w:rPr>
                <w:rFonts w:ascii="Calibri" w:hAnsi="Calibri" w:cs="Calibri"/>
              </w:rPr>
              <w:t xml:space="preserve">Group A Category, which includes issuers that are part of the MSCI </w:t>
            </w:r>
            <w:proofErr w:type="spellStart"/>
            <w:r w:rsidRPr="0072130F">
              <w:rPr>
                <w:rFonts w:ascii="Calibri" w:hAnsi="Calibri" w:cs="Calibri"/>
              </w:rPr>
              <w:t>Colcap</w:t>
            </w:r>
            <w:proofErr w:type="spellEnd"/>
            <w:r w:rsidRPr="0072130F">
              <w:rPr>
                <w:rFonts w:ascii="Calibri" w:hAnsi="Calibri" w:cs="Calibri"/>
              </w:rPr>
              <w:t xml:space="preserve"> index, as well as those that meet at least two of the following criteria as of December 31 of the immediately preceding year: (a) hold assets exceeding 3.8 million monthly legal minimum wages (MLMW); (b) have annual revenues equal to or greater than 1.9 million MLMW; or (c) have a workforce of 1,000 or more employees. Under no circumstances shall </w:t>
            </w:r>
            <w:proofErr w:type="gramStart"/>
            <w:r w:rsidRPr="0072130F">
              <w:rPr>
                <w:rFonts w:ascii="Calibri" w:hAnsi="Calibri" w:cs="Calibri"/>
              </w:rPr>
              <w:t>autonomous</w:t>
            </w:r>
            <w:proofErr w:type="gramEnd"/>
            <w:r w:rsidRPr="0072130F">
              <w:rPr>
                <w:rFonts w:ascii="Calibri" w:hAnsi="Calibri" w:cs="Calibri"/>
              </w:rPr>
              <w:t xml:space="preserve"> trusts, collective investment funds, private equity funds, or securitization schemes be considered Group A Issuers.</w:t>
            </w:r>
          </w:p>
        </w:tc>
      </w:tr>
      <w:tr w:rsidR="00DD292A" w:rsidRPr="00CB51D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448CFB40" w:rsidR="00DD292A" w:rsidRPr="00CF2E7C" w:rsidRDefault="0072130F" w:rsidP="00CF2E7C">
            <w:pPr>
              <w:rPr>
                <w:rFonts w:ascii="Calibri" w:hAnsi="Calibri" w:cs="Calibri"/>
                <w:lang w:val="sv-SE"/>
              </w:rPr>
            </w:pPr>
            <w:r w:rsidRPr="0072130F">
              <w:rPr>
                <w:rFonts w:ascii="Calibri" w:hAnsi="Calibri" w:cs="Calibri"/>
              </w:rPr>
              <w:t xml:space="preserve">Group A Category, which includes issuers that are part of the MSCI </w:t>
            </w:r>
            <w:proofErr w:type="spellStart"/>
            <w:r w:rsidRPr="0072130F">
              <w:rPr>
                <w:rFonts w:ascii="Calibri" w:hAnsi="Calibri" w:cs="Calibri"/>
              </w:rPr>
              <w:t>Colcap</w:t>
            </w:r>
            <w:proofErr w:type="spellEnd"/>
            <w:r w:rsidRPr="0072130F">
              <w:rPr>
                <w:rFonts w:ascii="Calibri" w:hAnsi="Calibri" w:cs="Calibri"/>
              </w:rPr>
              <w:t xml:space="preserve"> index, as well as those that meet at least two of the following criteria as of December 31 of the immediately preceding year: (a) hold assets exceeding 3.8 million monthly legal minimum wages (MLMW); (b) have annual revenues equal to or greater than 1.9 million MLMW; or (c) have a workforce of 1,000 or more employees. Under no circumstances shall </w:t>
            </w:r>
            <w:proofErr w:type="gramStart"/>
            <w:r w:rsidRPr="0072130F">
              <w:rPr>
                <w:rFonts w:ascii="Calibri" w:hAnsi="Calibri" w:cs="Calibri"/>
              </w:rPr>
              <w:t>autonomous</w:t>
            </w:r>
            <w:proofErr w:type="gramEnd"/>
            <w:r w:rsidRPr="0072130F">
              <w:rPr>
                <w:rFonts w:ascii="Calibri" w:hAnsi="Calibri" w:cs="Calibri"/>
              </w:rPr>
              <w:t xml:space="preserve"> trusts, </w:t>
            </w:r>
            <w:r w:rsidRPr="0072130F">
              <w:rPr>
                <w:rFonts w:ascii="Calibri" w:hAnsi="Calibri" w:cs="Calibri"/>
              </w:rPr>
              <w:lastRenderedPageBreak/>
              <w:t>collective investment funds, private equity funds, or securitization schemes be considered Group A Issuers.</w:t>
            </w: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3C7D3ED8" w:rsidR="00DD292A" w:rsidRPr="00CF2E7C" w:rsidRDefault="0072130F" w:rsidP="00CF2E7C">
            <w:pPr>
              <w:rPr>
                <w:rFonts w:ascii="Calibri" w:hAnsi="Calibri" w:cs="Calibri"/>
              </w:rPr>
            </w:pPr>
            <w:r w:rsidRPr="0072130F">
              <w:rPr>
                <w:rFonts w:ascii="Calibri" w:hAnsi="Calibri" w:cs="Calibri"/>
              </w:rPr>
              <w:t>Legal entities—regardless of the sector in which they operate or their specific legal nature (such as insurance companies, banks, or finance companies)—that are registered as securities issuers in the RNVE.  </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6D8F5DAA" w:rsidR="00DD292A" w:rsidRPr="00CF2E7C" w:rsidRDefault="005107C6" w:rsidP="00CF2E7C">
            <w:pPr>
              <w:rPr>
                <w:rFonts w:ascii="Calibri" w:hAnsi="Calibri" w:cs="Calibri"/>
              </w:rPr>
            </w:pPr>
            <w:r>
              <w:rPr>
                <w:rFonts w:ascii="Calibri" w:hAnsi="Calibri" w:cs="Calibri"/>
              </w:rPr>
              <w:t>X</w:t>
            </w: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5107C6"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3B5B122D" w:rsidR="00DD292A" w:rsidRPr="005107C6" w:rsidRDefault="005107C6" w:rsidP="00CF2E7C">
            <w:pPr>
              <w:rPr>
                <w:rFonts w:ascii="Calibri" w:hAnsi="Calibri" w:cs="Calibri"/>
                <w:lang w:val="en-US"/>
              </w:rPr>
            </w:pPr>
            <w:r w:rsidRPr="005107C6">
              <w:rPr>
                <w:rFonts w:ascii="Calibri" w:hAnsi="Calibri" w:cs="Calibri"/>
              </w:rPr>
              <w:t>Correct. The regulation includes statements such as: “</w:t>
            </w:r>
            <w:r w:rsidRPr="005107C6">
              <w:rPr>
                <w:rFonts w:ascii="Calibri" w:hAnsi="Calibri" w:cs="Calibri"/>
                <w:i/>
                <w:iCs/>
              </w:rPr>
              <w:t>In the event that, after applying the implemented procedures, Group A Issuers determine that no social, environmental, or climate-related matter constitutes material information, they must include a description of the reasons supporting such conclusion in both qualitative and quantitative terms</w:t>
            </w:r>
            <w:r w:rsidRPr="005107C6">
              <w:rPr>
                <w:rFonts w:ascii="Calibri" w:hAnsi="Calibri" w:cs="Calibri"/>
              </w:rPr>
              <w:t>.”</w:t>
            </w:r>
            <w:r>
              <w:rPr>
                <w:rFonts w:ascii="Calibri" w:hAnsi="Calibri" w:cs="Calibri"/>
              </w:rPr>
              <w:t xml:space="preserve"> (Section 5.1.1 Annex 2).</w:t>
            </w:r>
            <w:r w:rsidRPr="005107C6">
              <w:rPr>
                <w:rFonts w:ascii="Calibri" w:hAnsi="Calibri" w:cs="Calibri"/>
              </w:rPr>
              <w:t xml:space="preserve"> Accordingly, if it is demonstrated that the information is not material, the disclosure of ESG and climate-related matters will not be required.</w:t>
            </w: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2FD50C3C" w:rsidR="00DD3B33" w:rsidRPr="00CF2E7C" w:rsidRDefault="005107C6" w:rsidP="00CF2E7C">
            <w:pPr>
              <w:rPr>
                <w:rFonts w:ascii="Calibri" w:hAnsi="Calibri" w:cs="Calibri"/>
              </w:rPr>
            </w:pPr>
            <w:r>
              <w:rPr>
                <w:rFonts w:ascii="Calibri" w:hAnsi="Calibri" w:cs="Calibri"/>
              </w:rPr>
              <w:t>X</w:t>
            </w: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1B432301" w:rsidR="00DD3B33" w:rsidRPr="00CF2E7C" w:rsidRDefault="005107C6" w:rsidP="00CF2E7C">
            <w:pPr>
              <w:rPr>
                <w:rFonts w:ascii="Calibri" w:hAnsi="Calibri" w:cs="Calibri"/>
              </w:rPr>
            </w:pPr>
            <w:r>
              <w:rPr>
                <w:rFonts w:ascii="Calibri" w:hAnsi="Calibri" w:cs="Calibri"/>
              </w:rPr>
              <w:t>X</w:t>
            </w: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9A2A298" w:rsidR="00DD3B33" w:rsidRPr="00CF2E7C" w:rsidRDefault="005107C6"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lastRenderedPageBreak/>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3A6027CD" w:rsidR="00DD3B33" w:rsidRPr="00CF2E7C" w:rsidRDefault="005107C6" w:rsidP="00CF2E7C">
            <w:pPr>
              <w:rPr>
                <w:rFonts w:ascii="Calibri" w:hAnsi="Calibri" w:cs="Calibri"/>
              </w:rPr>
            </w:pPr>
            <w:r w:rsidRPr="0024663C">
              <w:rPr>
                <w:lang w:val="en-US"/>
              </w:rPr>
              <w:t xml:space="preserve">Although the regulatory provisions do not specifically address the consequences of non-compliance, reference must be made to Article </w:t>
            </w:r>
            <w:r>
              <w:rPr>
                <w:lang w:val="en-US"/>
              </w:rPr>
              <w:t>53</w:t>
            </w:r>
            <w:r w:rsidRPr="0024663C">
              <w:rPr>
                <w:lang w:val="en-US"/>
              </w:rPr>
              <w:t xml:space="preserve"> of </w:t>
            </w:r>
            <w:r>
              <w:rPr>
                <w:lang w:val="en-US"/>
              </w:rPr>
              <w:t>Law 964 de 2005</w:t>
            </w:r>
            <w:r w:rsidRPr="0024663C">
              <w:rPr>
                <w:lang w:val="en-US"/>
              </w:rPr>
              <w:t xml:space="preserve">, which sets forth the following sanctions: </w:t>
            </w:r>
            <w:r w:rsidRPr="0023706B">
              <w:rPr>
                <w:lang w:val="en-US"/>
              </w:rPr>
              <w:t>warnings, monetary fines, temporary suspension or disqualification from management or control functions, removal from such positions, suspension or cancellation of registration in relevant securities market registries, and penalties for breaches of capital adequacy and foreign currency exposure limits. Sanctions may be imposed concurrently, provided their nature allows for such accumulation.</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5A08D4C6" w:rsidR="00DD292A" w:rsidRPr="00CF2E7C" w:rsidRDefault="005107C6"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5A63DBE"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lastRenderedPageBreak/>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086B4E37" w:rsidR="00DD292A" w:rsidRPr="00CF2E7C" w:rsidRDefault="005107C6"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059B8EE6"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842B306" w:rsidR="00410853" w:rsidRPr="00CF2E7C" w:rsidRDefault="004035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21DAC260" w:rsidR="00F632FB" w:rsidRPr="00CF2E7C" w:rsidRDefault="004035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0A2FA3E8" w:rsidR="00F632FB" w:rsidRPr="00CF2E7C" w:rsidRDefault="004035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605FA481" w:rsidR="00F632FB" w:rsidRPr="00CF2E7C" w:rsidRDefault="004035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6012A95" w:rsidR="008C4722" w:rsidRPr="00CF2E7C" w:rsidRDefault="004035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4E76FE28" w:rsidR="008C4722" w:rsidRPr="00CF2E7C" w:rsidRDefault="004035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60AFAC6F" w:rsidR="008C4722" w:rsidRPr="00CF2E7C" w:rsidRDefault="004035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830D26"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DC9994E" w:rsidR="008C4722" w:rsidRPr="00830D26" w:rsidRDefault="00830D26" w:rsidP="00CF2E7C">
            <w:pPr>
              <w:textAlignment w:val="baseline"/>
              <w:rPr>
                <w:rFonts w:ascii="Calibri" w:eastAsia="Times New Roman" w:hAnsi="Calibri" w:cs="Calibri"/>
                <w:kern w:val="0"/>
                <w:lang w:val="en-US" w:eastAsia="en-GB"/>
                <w14:ligatures w14:val="none"/>
              </w:rPr>
            </w:pPr>
            <w:r w:rsidRPr="00830D26">
              <w:rPr>
                <w:rFonts w:ascii="Calibri" w:eastAsia="Times New Roman" w:hAnsi="Calibri" w:cs="Calibri"/>
                <w:kern w:val="0"/>
                <w:lang w:eastAsia="en-GB"/>
                <w14:ligatures w14:val="none"/>
              </w:rPr>
              <w:t xml:space="preserve">Annex 2 of Chapter I, Title V, Part III of the Legal Basic Circular (CBJ) refers to the disclosure of information on social and environmental matters, “including climate-related matters,” as reflected in sections 1, 2, 4, 5, 5.1, 5.2, 5.5, and 6 of the </w:t>
            </w:r>
            <w:proofErr w:type="gramStart"/>
            <w:r w:rsidRPr="00830D26">
              <w:rPr>
                <w:rFonts w:ascii="Calibri" w:eastAsia="Times New Roman" w:hAnsi="Calibri" w:cs="Calibri"/>
                <w:kern w:val="0"/>
                <w:lang w:eastAsia="en-GB"/>
                <w14:ligatures w14:val="none"/>
              </w:rPr>
              <w:t>aforementioned regulatory</w:t>
            </w:r>
            <w:proofErr w:type="gramEnd"/>
            <w:r w:rsidRPr="00830D26">
              <w:rPr>
                <w:rFonts w:ascii="Calibri" w:eastAsia="Times New Roman" w:hAnsi="Calibri" w:cs="Calibri"/>
                <w:kern w:val="0"/>
                <w:lang w:eastAsia="en-GB"/>
                <w14:ligatures w14:val="none"/>
              </w:rPr>
              <w:t xml:space="preserve"> provision</w:t>
            </w:r>
            <w:r w:rsidR="00403508" w:rsidRPr="00830D26">
              <w:rPr>
                <w:rFonts w:ascii="Calibri" w:eastAsia="Times New Roman" w:hAnsi="Calibri" w:cs="Calibri"/>
                <w:kern w:val="0"/>
                <w:lang w:val="en-US" w:eastAsia="en-GB"/>
                <w14:ligatures w14:val="none"/>
              </w:rPr>
              <w:t xml:space="preserve">. </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420E3EAE" w:rsidR="008C4722" w:rsidRPr="00CF2E7C" w:rsidRDefault="00830D2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3787614B" w:rsidR="007B7DEE" w:rsidRPr="00CF2E7C" w:rsidRDefault="00830D2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5C730D82" w:rsidR="007B7DEE" w:rsidRPr="00CF2E7C" w:rsidRDefault="00830D26" w:rsidP="00CF2E7C">
            <w:pPr>
              <w:textAlignment w:val="baseline"/>
              <w:rPr>
                <w:rFonts w:ascii="Calibri" w:eastAsia="Times New Roman" w:hAnsi="Calibri" w:cs="Calibri"/>
                <w:kern w:val="0"/>
                <w:lang w:eastAsia="en-GB"/>
                <w14:ligatures w14:val="none"/>
              </w:rPr>
            </w:pPr>
            <w:r w:rsidRPr="00611970">
              <w:rPr>
                <w:lang w:val="en-US"/>
              </w:rPr>
              <w:t xml:space="preserve">The regulation expressly refers to the use of a classification system or taxonomy for the definition of eligible activities and assets within the investment portfolio or projects of certain types of issuers. For this purpose, the use of the Colombian Green Taxonomy is permitted, in accordance with section 5.2.2 of Annex 2, Chapter I, Title V, Part III of the CBJ </w:t>
            </w:r>
            <w:r>
              <w:rPr>
                <w:lang w:val="en-US"/>
              </w:rPr>
              <w:t>issued by the</w:t>
            </w:r>
            <w:r w:rsidRPr="00611970">
              <w:rPr>
                <w:lang w:val="en-US"/>
              </w:rPr>
              <w:t xml:space="preserve"> SFC</w:t>
            </w:r>
            <w:r w:rsidR="00124797">
              <w:rPr>
                <w:lang w:val="en-US"/>
              </w:rPr>
              <w:t xml:space="preserve">, available at the following </w:t>
            </w:r>
            <w:hyperlink r:id="rId19" w:history="1">
              <w:r w:rsidR="00124797" w:rsidRPr="00124797">
                <w:rPr>
                  <w:rStyle w:val="Hyperlink"/>
                  <w:lang w:val="en-US"/>
                </w:rPr>
                <w:t>Web-archived link</w:t>
              </w:r>
            </w:hyperlink>
            <w:r w:rsidRPr="00611970">
              <w:rPr>
                <w:lang w:val="en-US"/>
              </w:rPr>
              <w:t>.</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6FCB0847" w:rsidR="00ED7E12" w:rsidRPr="00CF2E7C" w:rsidRDefault="00675FF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B098972" w:rsidR="00ED7E12" w:rsidRPr="00CF2E7C" w:rsidRDefault="00675FF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17EACBC9" w:rsidR="00ED7E12" w:rsidRPr="00CF2E7C" w:rsidRDefault="00675FF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83511F" w14:textId="77777777" w:rsidR="00675FF2" w:rsidRDefault="00675FF2" w:rsidP="00675FF2">
            <w:pPr>
              <w:jc w:val="both"/>
              <w:textAlignment w:val="baseline"/>
              <w:rPr>
                <w:rFonts w:ascii="Calibri" w:eastAsia="Times New Roman" w:hAnsi="Calibri" w:cs="Calibri"/>
                <w:kern w:val="0"/>
                <w:lang w:eastAsia="en-GB"/>
                <w14:ligatures w14:val="none"/>
              </w:rPr>
            </w:pPr>
            <w:r w:rsidRPr="00675FF2">
              <w:rPr>
                <w:rFonts w:ascii="Calibri" w:eastAsia="Times New Roman" w:hAnsi="Calibri" w:cs="Calibri"/>
                <w:kern w:val="0"/>
                <w:lang w:eastAsia="en-GB"/>
                <w14:ligatures w14:val="none"/>
              </w:rPr>
              <w:t xml:space="preserve">The policy tool monitors and verifies compliance with the obligations imposed on regulated entities primarily through a system of self-reporting and regulatory oversight by the </w:t>
            </w:r>
            <w:r>
              <w:rPr>
                <w:rFonts w:ascii="Calibri" w:eastAsia="Times New Roman" w:hAnsi="Calibri" w:cs="Calibri"/>
                <w:kern w:val="0"/>
                <w:lang w:eastAsia="en-GB"/>
                <w14:ligatures w14:val="none"/>
              </w:rPr>
              <w:t>SFC</w:t>
            </w:r>
            <w:r w:rsidRPr="00675FF2">
              <w:rPr>
                <w:rFonts w:ascii="Calibri" w:eastAsia="Times New Roman" w:hAnsi="Calibri" w:cs="Calibri"/>
                <w:kern w:val="0"/>
                <w:lang w:eastAsia="en-GB"/>
                <w14:ligatures w14:val="none"/>
              </w:rPr>
              <w:t xml:space="preserve">. Regulated entities are required to submit detailed annual and quarterly reports on social, environmental, and climate-related matters via the </w:t>
            </w:r>
            <w:r>
              <w:rPr>
                <w:rFonts w:ascii="Calibri" w:eastAsia="Times New Roman" w:hAnsi="Calibri" w:cs="Calibri"/>
                <w:kern w:val="0"/>
                <w:lang w:eastAsia="en-GB"/>
                <w14:ligatures w14:val="none"/>
              </w:rPr>
              <w:t>RNVE</w:t>
            </w:r>
            <w:r w:rsidRPr="00675FF2">
              <w:rPr>
                <w:rFonts w:ascii="Calibri" w:eastAsia="Times New Roman" w:hAnsi="Calibri" w:cs="Calibri"/>
                <w:kern w:val="0"/>
                <w:lang w:eastAsia="en-GB"/>
                <w14:ligatures w14:val="none"/>
              </w:rPr>
              <w:t xml:space="preserve">, as outlined in Sections 5.5 (annual reporting deadlines) and 6 (quarterly reporting). </w:t>
            </w:r>
          </w:p>
          <w:p w14:paraId="100E5713" w14:textId="77777777" w:rsidR="00675FF2" w:rsidRDefault="00675FF2" w:rsidP="00675FF2">
            <w:pPr>
              <w:jc w:val="both"/>
              <w:textAlignment w:val="baseline"/>
              <w:rPr>
                <w:rFonts w:ascii="Calibri" w:eastAsia="Times New Roman" w:hAnsi="Calibri" w:cs="Calibri"/>
                <w:kern w:val="0"/>
                <w:lang w:eastAsia="en-GB"/>
                <w14:ligatures w14:val="none"/>
              </w:rPr>
            </w:pPr>
          </w:p>
          <w:p w14:paraId="42FF8A1B" w14:textId="7DCBD744" w:rsidR="00ED7E12" w:rsidRPr="00CF2E7C" w:rsidRDefault="00675FF2" w:rsidP="00675FF2">
            <w:pPr>
              <w:jc w:val="both"/>
              <w:textAlignment w:val="baseline"/>
              <w:rPr>
                <w:rFonts w:ascii="Calibri" w:eastAsia="Times New Roman" w:hAnsi="Calibri" w:cs="Calibri"/>
                <w:kern w:val="0"/>
                <w:lang w:eastAsia="en-GB"/>
                <w14:ligatures w14:val="none"/>
              </w:rPr>
            </w:pPr>
            <w:r w:rsidRPr="00675FF2">
              <w:rPr>
                <w:rFonts w:ascii="Calibri" w:eastAsia="Times New Roman" w:hAnsi="Calibri" w:cs="Calibri"/>
                <w:kern w:val="0"/>
                <w:lang w:eastAsia="en-GB"/>
                <w14:ligatures w14:val="none"/>
              </w:rPr>
              <w:t>These reports must include information on practices, policies, processes, and indicators, as well as any material changes, with clear justifications for the materiality of disclosed issues (Sections 5.1.1 and 5.3). While self-reporting is the primary mechanism, the policy tool also allows for optional third-party verification by an independent auditor or external reviewer for Group A issuers (Section 5.1.4), enhancing the credibility of disclosures. The centralized electronic submission through the RNVE enables the financial supervisor to systematically oversee, monitor, and verify compliance with the reporting obligations.</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0D755D7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C0431">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6A8FB89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C0431">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26A90CD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C0431">
              <w:rPr>
                <w:rFonts w:ascii="Calibri" w:eastAsia="Times New Roman" w:hAnsi="Calibri" w:cs="Calibri"/>
                <w:kern w:val="0"/>
                <w:lan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3E5F40D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C0431">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6748628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C0431">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5EF8EC1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C0431">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5DAD39E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2130F">
              <w:rPr>
                <w:rFonts w:ascii="Calibri" w:eastAsia="Times New Roman" w:hAnsi="Calibri" w:cs="Calibri"/>
                <w:kern w:val="0"/>
                <w:lan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0E865C1E" w:rsidR="00C82860" w:rsidRPr="00CF2E7C" w:rsidRDefault="00BC043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EB7BA0F" w:rsidR="00C82860" w:rsidRPr="00CF2E7C" w:rsidRDefault="00BC0431" w:rsidP="00CF2E7C">
            <w:pPr>
              <w:textAlignment w:val="baseline"/>
              <w:rPr>
                <w:rFonts w:ascii="Calibri" w:eastAsia="Times New Roman" w:hAnsi="Calibri" w:cs="Calibri"/>
                <w:kern w:val="0"/>
                <w:lang w:eastAsia="en-GB"/>
                <w14:ligatures w14:val="none"/>
              </w:rPr>
            </w:pPr>
            <w:r w:rsidRPr="00BC0431">
              <w:rPr>
                <w:rFonts w:ascii="Calibri" w:eastAsia="Times New Roman" w:hAnsi="Calibri" w:cs="Calibri"/>
                <w:kern w:val="0"/>
                <w:lang w:eastAsia="en-GB"/>
                <w14:ligatures w14:val="none"/>
              </w:rPr>
              <w:t xml:space="preserve">Pursuant to section 5.1.3 of Annex 2, Chapter I, Title V, Part III, those meeting certain criteria must also disclose information regarding: (a) the issuer’s governance with respect to the positive and negative impacts arising from social and environmental matters, including the role </w:t>
            </w:r>
            <w:r w:rsidRPr="00BC0431">
              <w:rPr>
                <w:rFonts w:ascii="Calibri" w:eastAsia="Times New Roman" w:hAnsi="Calibri" w:cs="Calibri"/>
                <w:kern w:val="0"/>
                <w:lang w:eastAsia="en-GB"/>
                <w14:ligatures w14:val="none"/>
              </w:rPr>
              <w:lastRenderedPageBreak/>
              <w:t>of the board of directors, its supporting committees, and senior management in the assessment and management of such impacts; (b) the issuer’s strategy for managing social and environmental matters within its business operations and financial planning; and (c) the identification, assessment, and management of social and environmental risks.</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388A6FD" w:rsidR="00C82860" w:rsidRPr="00CF2E7C" w:rsidRDefault="00BC043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05EC02D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C0431">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4A34BA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C0431">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63F60BB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C0431">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712C78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C0431">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59921E5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72130F">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lastRenderedPageBreak/>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2DCC49C7" w:rsidR="00702413" w:rsidRPr="009C4D10" w:rsidRDefault="00B4327E"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No. </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B75671" w14:textId="77777777" w:rsidR="00B4327E" w:rsidRDefault="00B4327E"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w:t>
            </w:r>
            <w:r w:rsidRPr="00B4327E">
              <w:rPr>
                <w:rFonts w:eastAsia="Times New Roman" w:cstheme="minorHAnsi"/>
                <w:kern w:val="0"/>
                <w:lang w:eastAsia="en-GB"/>
                <w14:ligatures w14:val="none"/>
              </w:rPr>
              <w:t xml:space="preserve">he complexity of identifying and defining material climate-related risks, as entities must establish clear procedures to determine what constitutes material information regarding social, environmental, and climate issues (Section 5.1.1). The requirement to align disclosures with international frameworks such as the TCFD and SASB standards (Sections 5.1.2 and 5.1.3) adds further complexity, as entities may lack the technical expertise or resources to interpret and apply these standards effectively. </w:t>
            </w:r>
          </w:p>
          <w:p w14:paraId="718D87F5" w14:textId="13A823D6" w:rsidR="00702413" w:rsidRPr="009C4D10" w:rsidRDefault="00B4327E"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Likewise</w:t>
            </w:r>
            <w:r w:rsidRPr="00B4327E">
              <w:rPr>
                <w:rFonts w:eastAsia="Times New Roman" w:cstheme="minorHAnsi"/>
                <w:kern w:val="0"/>
                <w:lang w:eastAsia="en-GB"/>
                <w14:ligatures w14:val="none"/>
              </w:rPr>
              <w:t>, the need to meet strict reporting deadlines and provide timely updates on material changes (Sections 5.5 and 6) can pose operational and administrative challenges, particularly for smaller or less-resourced issuers, potentially impacting the overall effectiveness of climate risk management and supervision</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66EF7620" w:rsidR="00FE0EA5" w:rsidRPr="009C4D10" w:rsidRDefault="00FE0EA5" w:rsidP="00CF2E7C">
            <w:pPr>
              <w:rPr>
                <w:rFonts w:cstheme="minorHAnsi"/>
              </w:rPr>
            </w:pPr>
            <w:r w:rsidRPr="009C4D10">
              <w:rPr>
                <w:rFonts w:cstheme="minorHAnsi"/>
                <w:lang w:val="en-SG"/>
              </w:rPr>
              <w:t> </w:t>
            </w:r>
            <w:r w:rsidRPr="009C4D10">
              <w:rPr>
                <w:rFonts w:cstheme="minorHAnsi"/>
              </w:rPr>
              <w:t> </w:t>
            </w:r>
            <w:r w:rsidR="00F66650">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0B93A676" w:rsidR="00FE0EA5" w:rsidRPr="009C4D10" w:rsidRDefault="00FE0EA5" w:rsidP="00CF2E7C">
            <w:pPr>
              <w:rPr>
                <w:rFonts w:cstheme="minorHAnsi"/>
              </w:rPr>
            </w:pPr>
            <w:r w:rsidRPr="009C4D10">
              <w:rPr>
                <w:rFonts w:cstheme="minorHAnsi"/>
                <w:lang w:val="en-SG"/>
              </w:rPr>
              <w:t> </w:t>
            </w:r>
            <w:r w:rsidRPr="009C4D10">
              <w:rPr>
                <w:rFonts w:cstheme="minorHAnsi"/>
              </w:rPr>
              <w:t> </w:t>
            </w:r>
            <w:r w:rsidR="00F66650">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3A65A182" w:rsidR="00FE0EA5" w:rsidRPr="009C4D10" w:rsidRDefault="00FE0EA5" w:rsidP="00CF2E7C">
            <w:pPr>
              <w:rPr>
                <w:rFonts w:cstheme="minorHAnsi"/>
              </w:rPr>
            </w:pPr>
            <w:r w:rsidRPr="009C4D10">
              <w:rPr>
                <w:rFonts w:cstheme="minorHAnsi"/>
                <w:lang w:val="en-SG"/>
              </w:rPr>
              <w:t> </w:t>
            </w:r>
            <w:r w:rsidRPr="009C4D10">
              <w:rPr>
                <w:rFonts w:cstheme="minorHAnsi"/>
              </w:rPr>
              <w:t> </w:t>
            </w:r>
            <w:r w:rsidR="00F66650">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67F1CB3F" w:rsidR="00FE0EA5" w:rsidRPr="009C4D10" w:rsidRDefault="00FE0EA5" w:rsidP="00CF2E7C">
            <w:pPr>
              <w:rPr>
                <w:rFonts w:cstheme="minorHAnsi"/>
              </w:rPr>
            </w:pPr>
            <w:r w:rsidRPr="009C4D10">
              <w:rPr>
                <w:rFonts w:cstheme="minorHAnsi"/>
                <w:lang w:val="en-SG"/>
              </w:rPr>
              <w:t> </w:t>
            </w:r>
            <w:r w:rsidRPr="009C4D10">
              <w:rPr>
                <w:rFonts w:cstheme="minorHAnsi"/>
              </w:rPr>
              <w:t> </w:t>
            </w:r>
            <w:r w:rsidR="00F66650">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420F139E" w:rsidR="00FE0EA5" w:rsidRPr="009C4D10" w:rsidRDefault="00FE0EA5" w:rsidP="00CF2E7C">
            <w:pPr>
              <w:rPr>
                <w:rFonts w:cstheme="minorHAnsi"/>
              </w:rPr>
            </w:pPr>
            <w:r w:rsidRPr="009C4D10">
              <w:rPr>
                <w:rFonts w:cstheme="minorHAnsi"/>
                <w:lang w:val="en-SG"/>
              </w:rPr>
              <w:t> </w:t>
            </w:r>
            <w:r w:rsidRPr="009C4D10">
              <w:rPr>
                <w:rFonts w:cstheme="minorHAnsi"/>
              </w:rPr>
              <w:t> </w:t>
            </w:r>
            <w:r w:rsidR="00F66650">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55A2D2E2" w:rsidR="00FE0EA5" w:rsidRPr="009C4D10" w:rsidRDefault="00FE0EA5" w:rsidP="00CF2E7C">
            <w:pPr>
              <w:rPr>
                <w:rFonts w:cstheme="minorHAnsi"/>
              </w:rPr>
            </w:pPr>
            <w:r w:rsidRPr="009C4D10">
              <w:rPr>
                <w:rFonts w:cstheme="minorHAnsi"/>
              </w:rPr>
              <w:t>  </w:t>
            </w:r>
            <w:r w:rsidR="0072130F">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5770652C" w:rsidR="00FE0EA5" w:rsidRPr="009C4D10" w:rsidRDefault="00FE0EA5" w:rsidP="00CF2E7C">
            <w:pPr>
              <w:rPr>
                <w:rFonts w:cstheme="minorHAnsi"/>
              </w:rPr>
            </w:pPr>
            <w:r w:rsidRPr="009C4D10">
              <w:rPr>
                <w:rFonts w:cstheme="minorHAnsi"/>
                <w:lang w:val="en-SG"/>
              </w:rPr>
              <w:t> </w:t>
            </w:r>
            <w:r w:rsidRPr="009C4D10">
              <w:rPr>
                <w:rFonts w:cstheme="minorHAnsi"/>
              </w:rPr>
              <w:t> </w:t>
            </w:r>
            <w:r w:rsidR="00F66650">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lastRenderedPageBreak/>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2ED2C43F" w:rsidR="00C01AF9" w:rsidRPr="00392A15" w:rsidRDefault="00392A15" w:rsidP="00CF2E7C">
            <w:pPr>
              <w:rPr>
                <w:rFonts w:cstheme="minorHAnsi"/>
                <w:lang w:val="en-US"/>
              </w:rPr>
            </w:pPr>
            <w:r w:rsidRPr="00392A15">
              <w:rPr>
                <w:rFonts w:cstheme="minorHAnsi"/>
              </w:rPr>
              <w:t>Sustainability Accounting Standards Board</w:t>
            </w:r>
            <w:r>
              <w:rPr>
                <w:rFonts w:cstheme="minorHAnsi"/>
              </w:rPr>
              <w:t xml:space="preserve"> from the </w:t>
            </w:r>
            <w:r w:rsidRPr="00392A15">
              <w:rPr>
                <w:rFonts w:cstheme="minorHAnsi"/>
              </w:rPr>
              <w:t>Value Reporting Foundation</w:t>
            </w:r>
            <w:r>
              <w:rPr>
                <w:rFonts w:cstheme="minorHAnsi"/>
              </w:rPr>
              <w:t xml:space="preserve">. </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B51D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65A7F4" w14:textId="77777777" w:rsidR="00335DA9" w:rsidRDefault="00335DA9" w:rsidP="00874E39">
      <w:r>
        <w:separator/>
      </w:r>
    </w:p>
  </w:endnote>
  <w:endnote w:type="continuationSeparator" w:id="0">
    <w:p w14:paraId="52BF1A51" w14:textId="77777777" w:rsidR="00335DA9" w:rsidRDefault="00335DA9" w:rsidP="00874E39">
      <w:r>
        <w:continuationSeparator/>
      </w:r>
    </w:p>
  </w:endnote>
  <w:endnote w:type="continuationNotice" w:id="1">
    <w:p w14:paraId="1B5B47DF" w14:textId="77777777" w:rsidR="00335DA9" w:rsidRDefault="00335DA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374596" w14:textId="77777777" w:rsidR="00335DA9" w:rsidRDefault="00335DA9" w:rsidP="00874E39">
      <w:r>
        <w:separator/>
      </w:r>
    </w:p>
  </w:footnote>
  <w:footnote w:type="continuationSeparator" w:id="0">
    <w:p w14:paraId="0B725768" w14:textId="77777777" w:rsidR="00335DA9" w:rsidRDefault="00335DA9" w:rsidP="00874E39">
      <w:r>
        <w:continuationSeparator/>
      </w:r>
    </w:p>
  </w:footnote>
  <w:footnote w:type="continuationNotice" w:id="1">
    <w:p w14:paraId="78795B08" w14:textId="77777777" w:rsidR="00335DA9" w:rsidRDefault="00335DA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1755B1C"/>
    <w:multiLevelType w:val="hybridMultilevel"/>
    <w:tmpl w:val="0C70A9F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774054368">
    <w:abstractNumId w:val="2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090"/>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022"/>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797"/>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B25"/>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8F4"/>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06B"/>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036"/>
    <w:rsid w:val="002679A5"/>
    <w:rsid w:val="0027067C"/>
    <w:rsid w:val="00270A4D"/>
    <w:rsid w:val="00272D9A"/>
    <w:rsid w:val="002737EF"/>
    <w:rsid w:val="00274335"/>
    <w:rsid w:val="00274864"/>
    <w:rsid w:val="00274B22"/>
    <w:rsid w:val="00277FC5"/>
    <w:rsid w:val="00282468"/>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C7EAD"/>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5DA9"/>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1CC2"/>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57EE"/>
    <w:rsid w:val="00386B53"/>
    <w:rsid w:val="0038785C"/>
    <w:rsid w:val="0039010E"/>
    <w:rsid w:val="00390B82"/>
    <w:rsid w:val="00390EB0"/>
    <w:rsid w:val="0039223F"/>
    <w:rsid w:val="00392A15"/>
    <w:rsid w:val="00392F82"/>
    <w:rsid w:val="0039353D"/>
    <w:rsid w:val="003937AD"/>
    <w:rsid w:val="00393BA9"/>
    <w:rsid w:val="0039625A"/>
    <w:rsid w:val="003964A4"/>
    <w:rsid w:val="003A0C73"/>
    <w:rsid w:val="003A144F"/>
    <w:rsid w:val="003A2976"/>
    <w:rsid w:val="003A2E5E"/>
    <w:rsid w:val="003A4A9F"/>
    <w:rsid w:val="003A52E3"/>
    <w:rsid w:val="003A5B03"/>
    <w:rsid w:val="003B0628"/>
    <w:rsid w:val="003B3C0F"/>
    <w:rsid w:val="003B4DD6"/>
    <w:rsid w:val="003B4F81"/>
    <w:rsid w:val="003B539A"/>
    <w:rsid w:val="003B5B6C"/>
    <w:rsid w:val="003B6621"/>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3508"/>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7C6"/>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5F7FC9"/>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1970"/>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5F39"/>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5FF2"/>
    <w:rsid w:val="006770B7"/>
    <w:rsid w:val="006801E4"/>
    <w:rsid w:val="00683A9D"/>
    <w:rsid w:val="00683DB5"/>
    <w:rsid w:val="00685A4F"/>
    <w:rsid w:val="006878AC"/>
    <w:rsid w:val="00690B2A"/>
    <w:rsid w:val="006936EF"/>
    <w:rsid w:val="0069382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644C"/>
    <w:rsid w:val="00717C33"/>
    <w:rsid w:val="007201B1"/>
    <w:rsid w:val="0072130F"/>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702"/>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52C"/>
    <w:rsid w:val="00822032"/>
    <w:rsid w:val="008247E4"/>
    <w:rsid w:val="0082488A"/>
    <w:rsid w:val="0082674B"/>
    <w:rsid w:val="008273C0"/>
    <w:rsid w:val="008279D8"/>
    <w:rsid w:val="00830D26"/>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5B6"/>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81B"/>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CD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1C23"/>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6EB"/>
    <w:rsid w:val="00B01F74"/>
    <w:rsid w:val="00B02343"/>
    <w:rsid w:val="00B03475"/>
    <w:rsid w:val="00B03E4A"/>
    <w:rsid w:val="00B0479E"/>
    <w:rsid w:val="00B048EF"/>
    <w:rsid w:val="00B05B53"/>
    <w:rsid w:val="00B0643B"/>
    <w:rsid w:val="00B065CB"/>
    <w:rsid w:val="00B068ED"/>
    <w:rsid w:val="00B074C3"/>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27E"/>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56DB3"/>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0431"/>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2932"/>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C13"/>
    <w:rsid w:val="00C95D67"/>
    <w:rsid w:val="00C97222"/>
    <w:rsid w:val="00CA0DAE"/>
    <w:rsid w:val="00CA0E49"/>
    <w:rsid w:val="00CA1535"/>
    <w:rsid w:val="00CA5087"/>
    <w:rsid w:val="00CA58EE"/>
    <w:rsid w:val="00CA7EEF"/>
    <w:rsid w:val="00CB1649"/>
    <w:rsid w:val="00CB179D"/>
    <w:rsid w:val="00CB3E5E"/>
    <w:rsid w:val="00CB41F8"/>
    <w:rsid w:val="00CB4EBD"/>
    <w:rsid w:val="00CB51D5"/>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288"/>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54B"/>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0FBA"/>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57F2E"/>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6A"/>
    <w:rsid w:val="00F5517E"/>
    <w:rsid w:val="00F60B38"/>
    <w:rsid w:val="00F6108E"/>
    <w:rsid w:val="00F61CB7"/>
    <w:rsid w:val="00F6292A"/>
    <w:rsid w:val="00F62C69"/>
    <w:rsid w:val="00F63214"/>
    <w:rsid w:val="00F632FB"/>
    <w:rsid w:val="00F63EEB"/>
    <w:rsid w:val="00F64C00"/>
    <w:rsid w:val="00F64DA9"/>
    <w:rsid w:val="00F65C81"/>
    <w:rsid w:val="00F66650"/>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141258/https:/www.taxonomiaverde.gov.co/documents/316219/336660/Taxonom%C3%ADa+Verde+de+Colombia.pdf/f25c7843-9a15-17da-90f9-5d63763b85b6?t=1649352720000"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201955/https:/www.superfinanciera.gov.co/publicaciones/10115528/circular-basica-juridica-ce-00625/"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08141258/https:/www.taxonomiaverde.gov.co/documents/316219/336660/Taxonom%C3%ADa+Verde+de+Colombia.pdf/f25c7843-9a15-17da-90f9-5d63763b85b6?t=164935272000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55710F76-93F8-45E0-9BC4-03223DE6B8DB}"/>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166</TotalTime>
  <Pages>63</Pages>
  <Words>24782</Words>
  <Characters>136304</Characters>
  <Application>Microsoft Office Word</Application>
  <DocSecurity>0</DocSecurity>
  <Lines>1135</Lines>
  <Paragraphs>321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Silva [SCHOLAR]</cp:lastModifiedBy>
  <cp:revision>28</cp:revision>
  <cp:lastPrinted>2025-03-21T00:14:00Z</cp:lastPrinted>
  <dcterms:created xsi:type="dcterms:W3CDTF">2025-06-25T15:09:00Z</dcterms:created>
  <dcterms:modified xsi:type="dcterms:W3CDTF">2025-07-10T15:25:00Z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